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E6" w:rsidRPr="00C05114" w:rsidRDefault="00EB029D" w:rsidP="00C05114">
      <w:pPr>
        <w:jc w:val="right"/>
        <w:rPr>
          <w:sz w:val="26"/>
          <w:szCs w:val="26"/>
        </w:rPr>
      </w:pPr>
      <w:r w:rsidRPr="00C05114">
        <w:rPr>
          <w:sz w:val="26"/>
          <w:szCs w:val="26"/>
        </w:rPr>
        <w:t>ПРОЕКТ</w:t>
      </w:r>
    </w:p>
    <w:tbl>
      <w:tblPr>
        <w:tblW w:w="4820" w:type="dxa"/>
        <w:tblInd w:w="4786" w:type="dxa"/>
        <w:tblLook w:val="00A0"/>
      </w:tblPr>
      <w:tblGrid>
        <w:gridCol w:w="4820"/>
      </w:tblGrid>
      <w:tr w:rsidR="006E5B84" w:rsidRPr="0032560E" w:rsidTr="007138F5">
        <w:tc>
          <w:tcPr>
            <w:tcW w:w="4820" w:type="dxa"/>
          </w:tcPr>
          <w:p w:rsidR="006E5B84" w:rsidRPr="0032560E" w:rsidRDefault="006E5B84" w:rsidP="006E5B8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B029D" w:rsidRDefault="00D93F7E" w:rsidP="00D93F7E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</w:t>
      </w:r>
      <w:r w:rsidR="00EB029D">
        <w:rPr>
          <w:b/>
          <w:color w:val="000000"/>
          <w:sz w:val="28"/>
          <w:szCs w:val="28"/>
        </w:rPr>
        <w:t xml:space="preserve">ы </w:t>
      </w:r>
      <w:r w:rsidRPr="00D93F7E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</w:t>
      </w:r>
      <w:r w:rsidRPr="007138F5">
        <w:rPr>
          <w:b/>
          <w:color w:val="000000"/>
          <w:sz w:val="28"/>
          <w:szCs w:val="28"/>
        </w:rPr>
        <w:t xml:space="preserve">ценностям, при осуществлении муниципального жилищного контроля </w:t>
      </w:r>
      <w:r w:rsidR="007138F5" w:rsidRPr="007138F5">
        <w:rPr>
          <w:b/>
          <w:sz w:val="28"/>
          <w:szCs w:val="28"/>
        </w:rPr>
        <w:t>на территории Шенкурского муниципального округа Архангельской области</w:t>
      </w:r>
    </w:p>
    <w:p w:rsidR="00D93F7E" w:rsidRDefault="007138F5" w:rsidP="00D93F7E">
      <w:pPr>
        <w:jc w:val="center"/>
        <w:rPr>
          <w:b/>
          <w:color w:val="000000"/>
          <w:sz w:val="28"/>
          <w:szCs w:val="28"/>
        </w:rPr>
      </w:pPr>
      <w:r w:rsidRPr="00D93F7E">
        <w:rPr>
          <w:b/>
          <w:color w:val="000000"/>
          <w:sz w:val="28"/>
          <w:szCs w:val="28"/>
        </w:rPr>
        <w:t xml:space="preserve"> </w:t>
      </w:r>
      <w:r w:rsidR="00D93F7E" w:rsidRPr="00D93F7E">
        <w:rPr>
          <w:b/>
          <w:color w:val="000000"/>
          <w:sz w:val="28"/>
          <w:szCs w:val="28"/>
        </w:rPr>
        <w:t>на 202</w:t>
      </w:r>
      <w:r w:rsidR="00C46560">
        <w:rPr>
          <w:b/>
          <w:color w:val="000000"/>
          <w:sz w:val="28"/>
          <w:szCs w:val="28"/>
        </w:rPr>
        <w:t>5</w:t>
      </w:r>
      <w:r w:rsidR="00D93F7E" w:rsidRPr="00D93F7E">
        <w:rPr>
          <w:b/>
          <w:color w:val="000000"/>
          <w:sz w:val="28"/>
          <w:szCs w:val="28"/>
        </w:rPr>
        <w:t xml:space="preserve"> год</w:t>
      </w:r>
    </w:p>
    <w:p w:rsidR="006E5B84" w:rsidRDefault="006E5B84" w:rsidP="00D93F7E">
      <w:pPr>
        <w:jc w:val="center"/>
        <w:rPr>
          <w:sz w:val="26"/>
          <w:szCs w:val="26"/>
        </w:rPr>
      </w:pPr>
    </w:p>
    <w:p w:rsidR="006E5B84" w:rsidRPr="003044DC" w:rsidRDefault="006E5B84" w:rsidP="006E5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профилактики </w:t>
      </w:r>
      <w:r w:rsidRPr="008654F2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</w:t>
      </w:r>
      <w:r w:rsidRPr="00C03CFC">
        <w:rPr>
          <w:sz w:val="28"/>
          <w:szCs w:val="28"/>
        </w:rPr>
        <w:t xml:space="preserve">ущерба) охраняемым законом </w:t>
      </w:r>
      <w:r w:rsidRPr="003044DC">
        <w:rPr>
          <w:sz w:val="28"/>
          <w:szCs w:val="28"/>
        </w:rPr>
        <w:t>ценностям»</w:t>
      </w:r>
      <w:r w:rsidR="000F0E5F" w:rsidRPr="003044DC">
        <w:rPr>
          <w:sz w:val="28"/>
          <w:szCs w:val="28"/>
        </w:rPr>
        <w:t xml:space="preserve"> и предусматривает комплекс мероприятий по</w:t>
      </w:r>
      <w:proofErr w:type="gramEnd"/>
      <w:r w:rsidR="000F0E5F" w:rsidRPr="003044DC">
        <w:rPr>
          <w:sz w:val="28"/>
          <w:szCs w:val="28"/>
        </w:rPr>
        <w:t xml:space="preserve"> профилактике рисков причинения вреда (ущерба) охраняемым законом ценностям, при осуществлении муниципального жилищного контроля на территории Шенкурского муниципального округа Архангельской области</w:t>
      </w:r>
      <w:r w:rsidRPr="003044DC">
        <w:rPr>
          <w:sz w:val="28"/>
          <w:szCs w:val="28"/>
        </w:rPr>
        <w:t>.</w:t>
      </w:r>
    </w:p>
    <w:p w:rsidR="006E5B84" w:rsidRDefault="006E5B84"/>
    <w:p w:rsidR="008654F2" w:rsidRPr="008654F2" w:rsidRDefault="008654F2" w:rsidP="008654F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8654F2" w:rsidRPr="008654F2" w:rsidRDefault="008654F2" w:rsidP="008654F2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C9484F" w:rsidRPr="00107E26" w:rsidRDefault="006E5B84" w:rsidP="001C13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E26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</w:t>
      </w:r>
      <w:r w:rsidR="00C9484F" w:rsidRPr="00107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1C132C" w:rsidRPr="00107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 w:rsidR="00C9484F" w:rsidRPr="00107E26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является:</w:t>
      </w:r>
    </w:p>
    <w:p w:rsidR="006E5B84" w:rsidRPr="00107E26" w:rsidRDefault="006E5B84" w:rsidP="006E5B8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107E26">
        <w:rPr>
          <w:sz w:val="28"/>
          <w:szCs w:val="28"/>
        </w:rPr>
        <w:t xml:space="preserve">- деятельность, действия (бездействие) контролируемых лиц, к которым предъявляются обязательные требования в сфере </w:t>
      </w:r>
      <w:r w:rsidRPr="00107E26">
        <w:rPr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107E26">
        <w:rPr>
          <w:sz w:val="28"/>
          <w:szCs w:val="28"/>
        </w:rPr>
        <w:t>;</w:t>
      </w:r>
    </w:p>
    <w:p w:rsidR="006E5B84" w:rsidRPr="00107E26" w:rsidRDefault="006E5B84" w:rsidP="006E5B8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107E26">
        <w:rPr>
          <w:sz w:val="28"/>
          <w:szCs w:val="28"/>
        </w:rPr>
        <w:t xml:space="preserve">-  результаты деятельности контролируемых лиц, в том числе работы и услуги, к которым предъявляются обязательные требования в сфере </w:t>
      </w:r>
      <w:r w:rsidRPr="00107E26">
        <w:rPr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107E26">
        <w:rPr>
          <w:sz w:val="28"/>
          <w:szCs w:val="28"/>
        </w:rPr>
        <w:t>;</w:t>
      </w:r>
    </w:p>
    <w:p w:rsidR="006E5B84" w:rsidRPr="00107E26" w:rsidRDefault="006E5B84" w:rsidP="006E5B84">
      <w:pPr>
        <w:ind w:firstLine="720"/>
        <w:jc w:val="both"/>
        <w:rPr>
          <w:sz w:val="28"/>
          <w:szCs w:val="28"/>
        </w:rPr>
      </w:pPr>
      <w:r w:rsidRPr="00107E26">
        <w:rPr>
          <w:sz w:val="28"/>
          <w:szCs w:val="28"/>
        </w:rPr>
        <w:t xml:space="preserve">- жилые помещения (в том числе доли), принадлежащие на праве собственности Шенкурскому муниципальному </w:t>
      </w:r>
      <w:r w:rsidR="007F0D1A">
        <w:rPr>
          <w:sz w:val="28"/>
          <w:szCs w:val="28"/>
        </w:rPr>
        <w:t>окуругу</w:t>
      </w:r>
      <w:r w:rsidRPr="00107E26">
        <w:rPr>
          <w:sz w:val="28"/>
          <w:szCs w:val="28"/>
        </w:rPr>
        <w:t xml:space="preserve"> Архангельской области.</w:t>
      </w:r>
    </w:p>
    <w:p w:rsidR="00C573B9" w:rsidRPr="00107E26" w:rsidRDefault="004B1771" w:rsidP="00C573B9">
      <w:pPr>
        <w:ind w:firstLine="567"/>
        <w:jc w:val="both"/>
        <w:rPr>
          <w:sz w:val="28"/>
          <w:szCs w:val="28"/>
        </w:rPr>
      </w:pPr>
      <w:r w:rsidRPr="00107E26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</w:t>
      </w:r>
      <w:r w:rsidRPr="00107E26">
        <w:rPr>
          <w:color w:val="000000"/>
          <w:sz w:val="28"/>
          <w:szCs w:val="28"/>
        </w:rPr>
        <w:t>муниципального контроля являются</w:t>
      </w:r>
      <w:r w:rsidR="00C573B9" w:rsidRPr="00107E26">
        <w:rPr>
          <w:sz w:val="28"/>
          <w:szCs w:val="28"/>
        </w:rPr>
        <w:t>: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 xml:space="preserve">- юридические лица и индивидуальные предприниматели, осуществляющие управление многоквартирными домами, в которых имеются муниципальные жилые помещения; 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lastRenderedPageBreak/>
        <w:t xml:space="preserve">- юридические лица, уполномоченные на заключение </w:t>
      </w:r>
      <w:proofErr w:type="gramStart"/>
      <w:r w:rsidRPr="009B2A61">
        <w:rPr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 w:rsidRPr="009B2A61">
        <w:rPr>
          <w:sz w:val="28"/>
          <w:szCs w:val="28"/>
        </w:rPr>
        <w:t>;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- граждане – наниматели помещений жилищного фонда социального использования;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- 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В зависимости от объекта, в отношении которого осуществляется муниципальный жилищный контроль, выделяются два основных типа подконтрольных субъектов: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- юридические лица и индивидуальные предприниматели, осуществляющие управление многоквартирными домами, в которых имеются муниципальные жилые помещения;</w:t>
      </w:r>
    </w:p>
    <w:p w:rsidR="00C573B9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 xml:space="preserve">- граждане, осуществляющие пользование помещениями муниципального жилищного фонда на основании договоров найма жилых помещений. </w:t>
      </w:r>
    </w:p>
    <w:p w:rsidR="003044DC" w:rsidRDefault="00BE619A" w:rsidP="003044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19A">
        <w:rPr>
          <w:sz w:val="28"/>
          <w:szCs w:val="28"/>
        </w:rPr>
        <w:t>Главной задачей при осуществлении муниципального жилищного</w:t>
      </w:r>
      <w:r w:rsidRPr="00BE619A">
        <w:rPr>
          <w:sz w:val="28"/>
          <w:szCs w:val="28"/>
        </w:rPr>
        <w:br/>
        <w:t xml:space="preserve">контроля </w:t>
      </w:r>
      <w:r w:rsidR="003044DC">
        <w:rPr>
          <w:rFonts w:eastAsia="Calibri"/>
          <w:sz w:val="28"/>
          <w:szCs w:val="28"/>
          <w:lang w:eastAsia="en-US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044DC" w:rsidRDefault="003044DC" w:rsidP="003044D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рамках осуществления муниципального </w:t>
      </w:r>
      <w:r w:rsidRPr="003044DC">
        <w:rPr>
          <w:sz w:val="28"/>
          <w:szCs w:val="28"/>
        </w:rPr>
        <w:t>жилищного контроля на территории Шенкурского муниципального округа Архангельской области</w:t>
      </w:r>
      <w:r>
        <w:rPr>
          <w:sz w:val="28"/>
          <w:szCs w:val="28"/>
        </w:rPr>
        <w:t xml:space="preserve"> с учетом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которым установлены ограничения на проведение плановых контрольных мероприятий, проверок и внеплановых проверок контролируемых лиц в рамках осуществления государственного и муниципального контроля, плановые и внеплановые контрольные</w:t>
      </w:r>
      <w:proofErr w:type="gramEnd"/>
      <w:r>
        <w:rPr>
          <w:sz w:val="28"/>
          <w:szCs w:val="28"/>
        </w:rPr>
        <w:t xml:space="preserve"> мероприятия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взаимодействием с контролируемыми лицами  в 202</w:t>
      </w:r>
      <w:r w:rsidR="00C4656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проводились.  </w:t>
      </w:r>
    </w:p>
    <w:p w:rsidR="003044DC" w:rsidRDefault="003044DC" w:rsidP="0030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26AB">
        <w:rPr>
          <w:sz w:val="28"/>
          <w:szCs w:val="28"/>
        </w:rPr>
        <w:t>В целях профилактики наруш</w:t>
      </w:r>
      <w:r>
        <w:rPr>
          <w:sz w:val="28"/>
          <w:szCs w:val="28"/>
        </w:rPr>
        <w:t xml:space="preserve">ений обязательных требований на </w:t>
      </w:r>
      <w:r w:rsidRPr="004526AB">
        <w:rPr>
          <w:sz w:val="28"/>
          <w:szCs w:val="28"/>
        </w:rPr>
        <w:t>официальном сайте Шенкурского муниципального округа</w:t>
      </w:r>
      <w:r>
        <w:rPr>
          <w:sz w:val="28"/>
          <w:szCs w:val="28"/>
        </w:rPr>
        <w:t xml:space="preserve"> А</w:t>
      </w:r>
      <w:r w:rsidRPr="004526AB">
        <w:rPr>
          <w:sz w:val="28"/>
          <w:szCs w:val="28"/>
        </w:rPr>
        <w:t>рхангельской области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4526AB">
        <w:rPr>
          <w:sz w:val="28"/>
          <w:szCs w:val="28"/>
        </w:rPr>
        <w:t>обеспечено размещение информации в отношении проведения муниципального</w:t>
      </w:r>
      <w:r>
        <w:rPr>
          <w:sz w:val="28"/>
          <w:szCs w:val="28"/>
        </w:rPr>
        <w:t xml:space="preserve"> жилищного ко</w:t>
      </w:r>
      <w:r w:rsidRPr="004526AB">
        <w:rPr>
          <w:sz w:val="28"/>
          <w:szCs w:val="28"/>
        </w:rPr>
        <w:t>нтроля, в том числе перечень обязательных требований.</w:t>
      </w:r>
    </w:p>
    <w:p w:rsidR="003044DC" w:rsidRDefault="003044DC" w:rsidP="0030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Также в рамках профилактики рисков причинения вреда (ущерба) охраняемым законом ценностям в 202</w:t>
      </w:r>
      <w:r w:rsidR="00C4656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Программой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C46560">
        <w:rPr>
          <w:sz w:val="28"/>
          <w:szCs w:val="28"/>
        </w:rPr>
        <w:t>4</w:t>
      </w:r>
      <w:r>
        <w:rPr>
          <w:sz w:val="28"/>
          <w:szCs w:val="28"/>
        </w:rPr>
        <w:t xml:space="preserve"> год, было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путем консультирования на личном приеме.</w:t>
      </w:r>
      <w:proofErr w:type="gramEnd"/>
    </w:p>
    <w:p w:rsidR="003044DC" w:rsidRPr="003044DC" w:rsidRDefault="003044DC" w:rsidP="003044DC">
      <w:pPr>
        <w:ind w:firstLine="720"/>
        <w:jc w:val="both"/>
        <w:rPr>
          <w:sz w:val="28"/>
          <w:szCs w:val="28"/>
        </w:rPr>
      </w:pPr>
      <w:r w:rsidRPr="003044DC">
        <w:rPr>
          <w:sz w:val="28"/>
          <w:szCs w:val="28"/>
        </w:rPr>
        <w:t xml:space="preserve"> 2. Предметом муниципального контроля является:</w:t>
      </w:r>
    </w:p>
    <w:p w:rsidR="003044DC" w:rsidRPr="003044DC" w:rsidRDefault="003044DC" w:rsidP="003044DC">
      <w:pPr>
        <w:ind w:firstLine="720"/>
        <w:jc w:val="both"/>
        <w:rPr>
          <w:sz w:val="28"/>
          <w:szCs w:val="28"/>
        </w:rPr>
      </w:pPr>
      <w:r w:rsidRPr="003044DC">
        <w:rPr>
          <w:sz w:val="28"/>
          <w:szCs w:val="28"/>
        </w:rPr>
        <w:lastRenderedPageBreak/>
        <w:t xml:space="preserve">- </w:t>
      </w:r>
      <w:r w:rsidRPr="003044DC">
        <w:rPr>
          <w:rStyle w:val="fontstyle01"/>
        </w:rPr>
        <w:t>соблюдение юридическими лицами, индивидуальными предпринимателями и гражданами обязательных требований, указанных в пунктах 1 – 1</w:t>
      </w:r>
      <w:r w:rsidR="00C46560">
        <w:rPr>
          <w:rStyle w:val="fontstyle01"/>
        </w:rPr>
        <w:t>2</w:t>
      </w:r>
      <w:r w:rsidRPr="003044DC">
        <w:rPr>
          <w:rStyle w:val="fontstyle01"/>
        </w:rPr>
        <w:t xml:space="preserve"> части 1статьи 20 Жилищного кодекса Российской Федерации, в отношении муниципального жилищного фонда</w:t>
      </w:r>
      <w:r w:rsidRPr="003044DC">
        <w:rPr>
          <w:sz w:val="28"/>
          <w:szCs w:val="28"/>
        </w:rPr>
        <w:t>;</w:t>
      </w:r>
    </w:p>
    <w:p w:rsidR="003044DC" w:rsidRPr="003044DC" w:rsidRDefault="003044DC" w:rsidP="003044DC">
      <w:pPr>
        <w:ind w:firstLine="720"/>
        <w:jc w:val="both"/>
        <w:rPr>
          <w:sz w:val="28"/>
          <w:szCs w:val="28"/>
        </w:rPr>
      </w:pPr>
      <w:r w:rsidRPr="003044DC">
        <w:rPr>
          <w:sz w:val="28"/>
          <w:szCs w:val="28"/>
        </w:rPr>
        <w:t>- исполнение решений, принимаемых по результатам контрольных (надзорных) мероприятий.</w:t>
      </w:r>
    </w:p>
    <w:p w:rsidR="003075C3" w:rsidRPr="00927693" w:rsidRDefault="003075C3" w:rsidP="003075C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В целях профилактики нарушений обязательных требований на официальном сайте Шенкурского муниципального округа Архангельской области информационно-телекоммуникационной сети «Интернет» обеспечено размещение информации в отношении проведения контроля в </w:t>
      </w:r>
      <w:r w:rsidR="00EB029D">
        <w:rPr>
          <w:color w:val="000000"/>
          <w:sz w:val="28"/>
          <w:szCs w:val="28"/>
        </w:rPr>
        <w:t>сфере жилищных отношений</w:t>
      </w:r>
      <w:r>
        <w:rPr>
          <w:color w:val="000000"/>
          <w:sz w:val="28"/>
          <w:szCs w:val="28"/>
        </w:rPr>
        <w:t>, в том числе перечень обязательных требований.</w:t>
      </w:r>
    </w:p>
    <w:p w:rsidR="003075C3" w:rsidRDefault="003075C3" w:rsidP="003075C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Предостережения о недопустимости нарушения обязательных требований в соответствии со ст.8.2   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 202</w:t>
      </w:r>
      <w:r w:rsidR="00C4656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выдавались.</w:t>
      </w:r>
    </w:p>
    <w:p w:rsidR="00BD7AA9" w:rsidRDefault="00BD7AA9" w:rsidP="003044DC">
      <w:pPr>
        <w:ind w:firstLine="567"/>
        <w:jc w:val="center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FB0D77" w:rsidRPr="00EA7D5F" w:rsidRDefault="00FB0D77" w:rsidP="00FB0D77">
      <w:pPr>
        <w:ind w:firstLine="709"/>
        <w:contextualSpacing/>
        <w:jc w:val="both"/>
        <w:rPr>
          <w:sz w:val="28"/>
          <w:szCs w:val="28"/>
        </w:rPr>
      </w:pPr>
      <w:r w:rsidRPr="00EA7D5F">
        <w:rPr>
          <w:sz w:val="28"/>
          <w:szCs w:val="28"/>
        </w:rPr>
        <w:t>Настояща</w:t>
      </w:r>
      <w:r w:rsidR="003075C3">
        <w:rPr>
          <w:sz w:val="28"/>
          <w:szCs w:val="28"/>
        </w:rPr>
        <w:t>я  Программа разработана на 202</w:t>
      </w:r>
      <w:r w:rsidR="00C46560">
        <w:rPr>
          <w:sz w:val="28"/>
          <w:szCs w:val="28"/>
        </w:rPr>
        <w:t>5</w:t>
      </w:r>
      <w:r w:rsidRPr="00EA7D5F">
        <w:rPr>
          <w:sz w:val="28"/>
          <w:szCs w:val="28"/>
        </w:rPr>
        <w:t xml:space="preserve"> год и определяет цели, задачи и порядок осуществления Администрацией Шенкурского </w:t>
      </w:r>
      <w:r w:rsidRPr="00EA7D5F">
        <w:rPr>
          <w:bCs/>
          <w:sz w:val="28"/>
          <w:szCs w:val="28"/>
        </w:rPr>
        <w:t xml:space="preserve">муниципального </w:t>
      </w:r>
      <w:r w:rsidR="00C411A7">
        <w:rPr>
          <w:bCs/>
          <w:sz w:val="28"/>
          <w:szCs w:val="28"/>
        </w:rPr>
        <w:t>округа</w:t>
      </w:r>
      <w:r w:rsidRPr="00EA7D5F">
        <w:rPr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</w:t>
      </w:r>
      <w:r w:rsidR="00EA7D5F" w:rsidRPr="00EA7D5F">
        <w:rPr>
          <w:sz w:val="28"/>
          <w:szCs w:val="28"/>
        </w:rPr>
        <w:t>,</w:t>
      </w:r>
      <w:r w:rsidRPr="00EA7D5F">
        <w:rPr>
          <w:sz w:val="28"/>
          <w:szCs w:val="28"/>
        </w:rPr>
        <w:t xml:space="preserve"> </w:t>
      </w:r>
      <w:r w:rsidR="00EA7D5F" w:rsidRPr="00EA7D5F">
        <w:rPr>
          <w:rStyle w:val="fontstyle01"/>
        </w:rPr>
        <w:t>указанных в пунктах 1 – 1</w:t>
      </w:r>
      <w:r w:rsidR="00C46560">
        <w:rPr>
          <w:rStyle w:val="fontstyle01"/>
        </w:rPr>
        <w:t>2</w:t>
      </w:r>
      <w:r w:rsidR="00EA7D5F" w:rsidRPr="00EA7D5F">
        <w:rPr>
          <w:rStyle w:val="fontstyle01"/>
        </w:rPr>
        <w:t xml:space="preserve"> части 1статьи 20 Жилищного кодекса Российской Федерации, в отношении муниципального жилищного фонда</w:t>
      </w:r>
      <w:r w:rsidRPr="00EA7D5F">
        <w:rPr>
          <w:sz w:val="28"/>
          <w:szCs w:val="28"/>
        </w:rPr>
        <w:t>.</w:t>
      </w:r>
    </w:p>
    <w:p w:rsidR="00FB0D77" w:rsidRPr="00EA7D5F" w:rsidRDefault="00FB0D77" w:rsidP="00FB0D77">
      <w:pPr>
        <w:pStyle w:val="a3"/>
        <w:ind w:left="709"/>
        <w:jc w:val="both"/>
        <w:rPr>
          <w:color w:val="000000"/>
          <w:sz w:val="28"/>
          <w:szCs w:val="28"/>
        </w:rPr>
      </w:pPr>
      <w:r w:rsidRPr="00EA7D5F">
        <w:rPr>
          <w:color w:val="000000"/>
          <w:sz w:val="28"/>
          <w:szCs w:val="28"/>
        </w:rPr>
        <w:t>Основными целями программы профилактики являются: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 xml:space="preserve">- предупреждение и профилактика нарушений требований </w:t>
      </w:r>
      <w:r w:rsidR="00EA7D5F" w:rsidRPr="00EA7D5F">
        <w:rPr>
          <w:color w:val="000000"/>
          <w:sz w:val="28"/>
          <w:szCs w:val="28"/>
        </w:rPr>
        <w:t xml:space="preserve">жилищного законодательства </w:t>
      </w:r>
      <w:r w:rsidRPr="00EA7D5F">
        <w:rPr>
          <w:color w:val="000000"/>
          <w:sz w:val="28"/>
          <w:szCs w:val="28"/>
        </w:rPr>
        <w:t>юридическими лицами, индивидуальными предпринимателями, гражданами;</w:t>
      </w:r>
    </w:p>
    <w:p w:rsidR="00EA7D5F" w:rsidRPr="00EA7D5F" w:rsidRDefault="00EA7D5F" w:rsidP="00EA7D5F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EA7D5F">
        <w:rPr>
          <w:color w:val="000000"/>
          <w:sz w:val="28"/>
          <w:szCs w:val="28"/>
        </w:rPr>
        <w:t>- устранение условий, причин и факторов, способных привести к</w:t>
      </w:r>
      <w:r w:rsidRPr="00EA7D5F">
        <w:rPr>
          <w:color w:val="000000"/>
          <w:sz w:val="28"/>
          <w:szCs w:val="28"/>
        </w:rPr>
        <w:br/>
        <w:t>нарушениям обязательных требований и (или) причинению вреда (ущерба) охраняемым законом ценностям;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 xml:space="preserve">- увеличение доли хозяйствующих субъектов, соблюдающих требования </w:t>
      </w:r>
      <w:r w:rsidR="00EA7D5F" w:rsidRPr="00EA7D5F">
        <w:rPr>
          <w:color w:val="000000"/>
          <w:sz w:val="28"/>
          <w:szCs w:val="28"/>
        </w:rPr>
        <w:t>жилищного законодательства</w:t>
      </w:r>
      <w:r w:rsidRPr="00EA7D5F">
        <w:rPr>
          <w:color w:val="000000"/>
          <w:sz w:val="28"/>
          <w:szCs w:val="28"/>
        </w:rPr>
        <w:t>;</w:t>
      </w:r>
    </w:p>
    <w:p w:rsidR="00FB0D77" w:rsidRPr="00EA7D5F" w:rsidRDefault="00FB0D77" w:rsidP="00FB0D7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>- повышение прозрачности системы контрольно-надзорной деятельности.</w:t>
      </w:r>
    </w:p>
    <w:p w:rsidR="00FB0D77" w:rsidRPr="00EA7D5F" w:rsidRDefault="00FB0D77" w:rsidP="00FB0D77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EA7D5F">
        <w:rPr>
          <w:color w:val="000000"/>
          <w:sz w:val="28"/>
          <w:szCs w:val="28"/>
        </w:rPr>
        <w:t xml:space="preserve"> Проведение профилактических мероприятий программы профилактики</w:t>
      </w:r>
      <w:r w:rsidR="00EA7D5F" w:rsidRPr="00EA7D5F">
        <w:rPr>
          <w:color w:val="000000"/>
          <w:sz w:val="28"/>
          <w:szCs w:val="28"/>
        </w:rPr>
        <w:t xml:space="preserve"> </w:t>
      </w:r>
      <w:r w:rsidRPr="00EA7D5F">
        <w:rPr>
          <w:color w:val="000000"/>
          <w:sz w:val="28"/>
          <w:szCs w:val="28"/>
        </w:rPr>
        <w:t>направлено на решение следующих задач: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FB0D77" w:rsidRPr="00EA7D5F" w:rsidRDefault="00FB0D77" w:rsidP="00FB0D7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A7D5F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и причинению вреда (ущерба) охраняемым </w:t>
      </w:r>
      <w:r w:rsidRPr="00EA7D5F">
        <w:rPr>
          <w:rFonts w:ascii="Times New Roman" w:hAnsi="Times New Roman" w:cs="Times New Roman"/>
          <w:sz w:val="28"/>
          <w:szCs w:val="28"/>
        </w:rPr>
        <w:lastRenderedPageBreak/>
        <w:t>законом ценностям, определение способов устранения или снижения рисков их возникновения;</w:t>
      </w:r>
    </w:p>
    <w:p w:rsidR="00FB0D77" w:rsidRPr="00EA7D5F" w:rsidRDefault="00EB029D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D77" w:rsidRPr="00EA7D5F">
        <w:rPr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B0D77" w:rsidRPr="00EA7D5F" w:rsidRDefault="00FB0D77" w:rsidP="00FB0D7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A7D5F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sz w:val="28"/>
          <w:szCs w:val="28"/>
        </w:rPr>
        <w:t>-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ценностям.</w:t>
      </w:r>
    </w:p>
    <w:p w:rsidR="0051734C" w:rsidRPr="00EA7D5F" w:rsidRDefault="0051734C" w:rsidP="0051734C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51734C" w:rsidRDefault="00007D03" w:rsidP="005173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</w:t>
      </w:r>
      <w:r w:rsidR="00C46560">
        <w:rPr>
          <w:color w:val="000000"/>
          <w:sz w:val="28"/>
          <w:szCs w:val="28"/>
        </w:rPr>
        <w:t>5</w:t>
      </w:r>
      <w:r w:rsidRPr="00007D03">
        <w:rPr>
          <w:color w:val="000000"/>
          <w:sz w:val="28"/>
          <w:szCs w:val="28"/>
        </w:rPr>
        <w:t xml:space="preserve">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270E57" w:rsidRPr="00007D03" w:rsidRDefault="00270E57" w:rsidP="006348D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4049"/>
        <w:gridCol w:w="2835"/>
        <w:gridCol w:w="62"/>
        <w:gridCol w:w="2030"/>
      </w:tblGrid>
      <w:tr w:rsidR="00BB4566" w:rsidRPr="00402E2B" w:rsidTr="003075C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007D0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270E57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270E57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351516" w:rsidRPr="00402E2B" w:rsidTr="003075C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Актуализация и размещение </w:t>
            </w:r>
            <w:r w:rsidRPr="00402E2B">
              <w:rPr>
                <w:spacing w:val="-7"/>
                <w:sz w:val="26"/>
                <w:szCs w:val="26"/>
              </w:rPr>
              <w:t xml:space="preserve">на официальном сайте Шенкурского муниципального </w:t>
            </w:r>
            <w:r w:rsidR="00C411A7">
              <w:rPr>
                <w:spacing w:val="-7"/>
                <w:sz w:val="26"/>
                <w:szCs w:val="26"/>
              </w:rPr>
              <w:t>округа</w:t>
            </w:r>
            <w:r w:rsidRPr="00402E2B">
              <w:rPr>
                <w:spacing w:val="-7"/>
                <w:sz w:val="26"/>
                <w:szCs w:val="26"/>
              </w:rPr>
              <w:t xml:space="preserve">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w:history="1">
              <w:r w:rsidR="00FB0D77" w:rsidRPr="00656FE9">
                <w:rPr>
                  <w:rStyle w:val="a5"/>
                  <w:sz w:val="26"/>
                  <w:szCs w:val="26"/>
                </w:rPr>
                <w:t>http:/</w:t>
              </w:r>
            </w:hyperlink>
            <w:r w:rsidR="00FB0D77">
              <w:t>/__________________</w:t>
            </w:r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3075C3" w:rsidRDefault="00351516" w:rsidP="003075C3">
            <w:pPr>
              <w:rPr>
                <w:color w:val="000000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="003075C3" w:rsidRPr="004829C1">
              <w:rPr>
                <w:color w:val="000000"/>
              </w:rPr>
              <w:t xml:space="preserve">а) </w:t>
            </w:r>
            <w:r w:rsidR="003075C3">
              <w:rPr>
                <w:iCs/>
              </w:rPr>
              <w:t>актуальной редакции перечня нормативных правовых актов, содержащих обязательные требования</w:t>
            </w:r>
            <w:r w:rsidR="003075C3" w:rsidRPr="004829C1">
              <w:rPr>
                <w:color w:val="000000"/>
              </w:rPr>
              <w:t>;</w:t>
            </w:r>
          </w:p>
          <w:p w:rsidR="003075C3" w:rsidRPr="004829C1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rPr>
                <w:color w:val="000000"/>
              </w:rPr>
            </w:pPr>
            <w:r w:rsidRPr="004829C1">
              <w:rPr>
                <w:color w:val="000000"/>
              </w:rPr>
              <w:t xml:space="preserve">б) </w:t>
            </w:r>
            <w:r>
              <w:rPr>
                <w:iCs/>
              </w:rPr>
              <w:t>актуальной редакции проверочных листов</w:t>
            </w:r>
          </w:p>
          <w:p w:rsidR="003075C3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rPr>
                <w:iCs/>
              </w:rPr>
            </w:pPr>
            <w:r w:rsidRPr="004829C1">
              <w:rPr>
                <w:color w:val="000000"/>
              </w:rPr>
              <w:t xml:space="preserve">в) </w:t>
            </w:r>
            <w:r>
              <w:rPr>
                <w:iCs/>
              </w:rPr>
              <w:t>актуальной редакции руководства по соблюдению обязательных требований</w:t>
            </w:r>
          </w:p>
          <w:p w:rsidR="003075C3" w:rsidRPr="004829C1" w:rsidRDefault="003075C3" w:rsidP="003075C3">
            <w:pPr>
              <w:rPr>
                <w:color w:val="000000"/>
              </w:rPr>
            </w:pPr>
          </w:p>
          <w:p w:rsidR="003075C3" w:rsidRPr="004829C1" w:rsidRDefault="003075C3" w:rsidP="003075C3">
            <w:pPr>
              <w:rPr>
                <w:color w:val="000000"/>
              </w:rPr>
            </w:pPr>
            <w:r w:rsidRPr="004829C1">
              <w:rPr>
                <w:color w:val="000000"/>
              </w:rPr>
              <w:t>г) программы профилактики рисков</w:t>
            </w:r>
          </w:p>
          <w:p w:rsidR="00351516" w:rsidRPr="00007D03" w:rsidRDefault="003075C3" w:rsidP="003075C3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причинения вреда.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075C3" w:rsidRPr="004829C1" w:rsidRDefault="003075C3" w:rsidP="003075C3">
            <w:r>
              <w:rPr>
                <w:iCs/>
              </w:rPr>
              <w:t>в течение 10 календарных дней со дня актуализации</w:t>
            </w:r>
          </w:p>
          <w:p w:rsidR="003075C3" w:rsidRPr="004829C1" w:rsidRDefault="003075C3" w:rsidP="003075C3"/>
          <w:p w:rsidR="003075C3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autoSpaceDE w:val="0"/>
              <w:autoSpaceDN w:val="0"/>
              <w:adjustRightInd w:val="0"/>
            </w:pPr>
            <w:r>
              <w:t>в течение трех календарных дней со дня изменения формы проверочного листа</w:t>
            </w:r>
          </w:p>
          <w:p w:rsidR="003075C3" w:rsidRPr="004829C1" w:rsidRDefault="003075C3" w:rsidP="003075C3">
            <w:r>
              <w:rPr>
                <w:iCs/>
              </w:rPr>
              <w:t>в течение 10 календарных дней со дня утверждения</w:t>
            </w:r>
          </w:p>
          <w:p w:rsidR="003075C3" w:rsidRDefault="003075C3" w:rsidP="003075C3"/>
          <w:p w:rsidR="003075C3" w:rsidRDefault="003075C3" w:rsidP="003075C3">
            <w:pPr>
              <w:rPr>
                <w:iCs/>
              </w:rPr>
            </w:pPr>
          </w:p>
          <w:p w:rsidR="003075C3" w:rsidRPr="004829C1" w:rsidRDefault="003075C3" w:rsidP="003075C3">
            <w:r>
              <w:rPr>
                <w:iCs/>
              </w:rPr>
              <w:t>в течение 10 календарных дней со дня утверждения</w:t>
            </w:r>
          </w:p>
          <w:p w:rsidR="00351516" w:rsidRPr="00007D03" w:rsidRDefault="00351516" w:rsidP="00402E2B">
            <w:pPr>
              <w:ind w:right="-143"/>
              <w:rPr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516" w:rsidRPr="00007D03" w:rsidRDefault="00351516" w:rsidP="003075C3">
            <w:pPr>
              <w:ind w:right="-143"/>
              <w:rPr>
                <w:sz w:val="26"/>
                <w:szCs w:val="26"/>
              </w:rPr>
            </w:pPr>
            <w:r w:rsidRPr="00402E2B">
              <w:rPr>
                <w:sz w:val="26"/>
                <w:szCs w:val="26"/>
              </w:rPr>
              <w:lastRenderedPageBreak/>
              <w:t>отдел ЖКХ,  отдел организационной работы и местного самоуправления</w:t>
            </w:r>
          </w:p>
        </w:tc>
      </w:tr>
      <w:tr w:rsidR="00351516" w:rsidRPr="00402E2B" w:rsidTr="003515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007D0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1516" w:rsidRDefault="00351516" w:rsidP="00351516">
            <w:pPr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предостережений</w:t>
            </w:r>
          </w:p>
        </w:tc>
      </w:tr>
      <w:tr w:rsidR="00351516" w:rsidRPr="00402E2B" w:rsidTr="003075C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3515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16" w:rsidRDefault="00351516" w:rsidP="00351516">
            <w:pPr>
              <w:contextualSpacing/>
              <w:jc w:val="both"/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</w:pPr>
            <w:r w:rsidRPr="00351516"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  <w:p w:rsidR="000F4E8C" w:rsidRPr="00351516" w:rsidRDefault="000F4E8C" w:rsidP="00351516">
            <w:pPr>
              <w:contextualSpacing/>
              <w:jc w:val="both"/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8C" w:rsidRDefault="000F4E8C" w:rsidP="000F4E8C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B16EC1">
              <w:rPr>
                <w:sz w:val="26"/>
                <w:szCs w:val="26"/>
              </w:rPr>
              <w:t>о мере поступления информации о готовящихся нарушениях или признаках нарушений обязательных требований</w:t>
            </w:r>
          </w:p>
          <w:p w:rsidR="00351516" w:rsidRPr="00351516" w:rsidRDefault="000F4E8C" w:rsidP="000F4E8C">
            <w:pPr>
              <w:rPr>
                <w:color w:val="000000"/>
                <w:sz w:val="26"/>
                <w:szCs w:val="26"/>
              </w:rPr>
            </w:pPr>
            <w:r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  <w:t>- п</w:t>
            </w:r>
            <w:r w:rsidR="00351516" w:rsidRPr="00351516"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  <w:t>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092" w:type="dxa"/>
            <w:gridSpan w:val="2"/>
            <w:vAlign w:val="center"/>
            <w:hideMark/>
          </w:tcPr>
          <w:p w:rsidR="00351516" w:rsidRPr="00351516" w:rsidRDefault="00351516" w:rsidP="003075C3">
            <w:pPr>
              <w:rPr>
                <w:sz w:val="26"/>
                <w:szCs w:val="26"/>
              </w:rPr>
            </w:pPr>
            <w:r w:rsidRPr="00351516">
              <w:rPr>
                <w:sz w:val="26"/>
                <w:szCs w:val="26"/>
              </w:rPr>
              <w:t>отдел ЖКХ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351516" w:rsidP="00E71A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E71A90" w:rsidRPr="00402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1A90" w:rsidRPr="00402E2B" w:rsidRDefault="00E71A90" w:rsidP="00E71A90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E71A90" w:rsidRPr="00402E2B" w:rsidTr="003075C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Осуществляется по следующим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вопросам:</w:t>
            </w: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наличие и (или) содержание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 в сфере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в) порядок обжалования решений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органа, действий (бездействия) должностных лиц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 запросу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контролируемо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го лица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способы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 xml:space="preserve">консультирования: 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 xml:space="preserve">телефону, </w:t>
            </w:r>
          </w:p>
          <w:p w:rsidR="00E71A90" w:rsidRPr="00402E2B" w:rsidRDefault="00E71A90" w:rsidP="00C46560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личном приеме</w:t>
            </w:r>
            <w:r w:rsidR="00402E2B">
              <w:rPr>
                <w:color w:val="000000"/>
                <w:sz w:val="26"/>
                <w:szCs w:val="26"/>
              </w:rPr>
              <w:t xml:space="preserve">, </w:t>
            </w:r>
            <w:r w:rsidRPr="00402E2B">
              <w:rPr>
                <w:color w:val="000000"/>
                <w:sz w:val="26"/>
                <w:szCs w:val="26"/>
              </w:rPr>
              <w:t>либо в ходе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проведения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профилактического или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92" w:type="dxa"/>
            <w:gridSpan w:val="2"/>
            <w:vAlign w:val="center"/>
            <w:hideMark/>
          </w:tcPr>
          <w:p w:rsidR="00E71A90" w:rsidRPr="00402E2B" w:rsidRDefault="00402E2B" w:rsidP="003075C3">
            <w:pPr>
              <w:rPr>
                <w:sz w:val="26"/>
                <w:szCs w:val="26"/>
              </w:rPr>
            </w:pPr>
            <w:r w:rsidRPr="00402E2B">
              <w:rPr>
                <w:sz w:val="26"/>
                <w:szCs w:val="26"/>
              </w:rPr>
              <w:t>отдел ЖКХ</w:t>
            </w:r>
          </w:p>
        </w:tc>
      </w:tr>
      <w:tr w:rsidR="00351516" w:rsidRPr="00402E2B" w:rsidTr="003515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35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402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1516" w:rsidRPr="00402E2B" w:rsidRDefault="000F4E8C" w:rsidP="0035151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Профилактический визит</w:t>
            </w:r>
          </w:p>
        </w:tc>
      </w:tr>
      <w:tr w:rsidR="003075C3" w:rsidRPr="00402E2B" w:rsidTr="003075C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C3" w:rsidRPr="00402E2B" w:rsidRDefault="003075C3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C3" w:rsidRPr="00402E2B" w:rsidRDefault="003075C3" w:rsidP="00007D03">
            <w:pPr>
              <w:rPr>
                <w:color w:val="000000"/>
                <w:sz w:val="26"/>
                <w:szCs w:val="26"/>
              </w:rPr>
            </w:pPr>
            <w:r w:rsidRPr="008C4B3E">
              <w:rPr>
                <w:rFonts w:ascii="PT Astra Serif" w:hAnsi="PT Astra Serif"/>
                <w:color w:val="181818"/>
              </w:rPr>
              <w:t>Профилактическая беседа по месту осуществления деятельности контролируемого лица либо путем использования видеоконференции-связи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C3" w:rsidRPr="00402E2B" w:rsidRDefault="003075C3" w:rsidP="00007D03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092" w:type="dxa"/>
            <w:gridSpan w:val="2"/>
            <w:vAlign w:val="center"/>
            <w:hideMark/>
          </w:tcPr>
          <w:p w:rsidR="003075C3" w:rsidRPr="00402E2B" w:rsidRDefault="003075C3" w:rsidP="00E650E6">
            <w:pPr>
              <w:rPr>
                <w:sz w:val="26"/>
                <w:szCs w:val="26"/>
              </w:rPr>
            </w:pPr>
            <w:r w:rsidRPr="00402E2B">
              <w:rPr>
                <w:sz w:val="26"/>
                <w:szCs w:val="26"/>
              </w:rPr>
              <w:t>отдел ЖКХ</w:t>
            </w: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FB0D77" w:rsidRPr="00D17FE4" w:rsidRDefault="00FB0D77" w:rsidP="00FB0D77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9"/>
        <w:gridCol w:w="2552"/>
      </w:tblGrid>
      <w:tr w:rsidR="00FB0D77" w:rsidRPr="009D454E" w:rsidTr="005C0CC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FB0D77" w:rsidRPr="009D454E" w:rsidTr="005C0CC5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B0D77" w:rsidRPr="009D454E" w:rsidTr="005C0CC5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Default="00FB0D77" w:rsidP="005C0CC5">
            <w:pPr>
              <w:autoSpaceDE w:val="0"/>
              <w:autoSpaceDN w:val="0"/>
              <w:adjustRightInd w:val="0"/>
            </w:pPr>
            <w:r>
              <w:t>2</w:t>
            </w:r>
            <w:r w:rsidRPr="00585AD6">
              <w:t>. Информированность подконтрольных субъектов о содержании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>
              <w:t>Не менее 60 %</w:t>
            </w:r>
          </w:p>
        </w:tc>
      </w:tr>
      <w:tr w:rsidR="00FB0D77" w:rsidRPr="009D454E" w:rsidTr="005C0CC5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E65317" w:rsidRDefault="00FB0D77" w:rsidP="005C0CC5">
            <w:pPr>
              <w:autoSpaceDE w:val="0"/>
              <w:autoSpaceDN w:val="0"/>
              <w:adjustRightInd w:val="0"/>
            </w:pPr>
            <w:r>
              <w:t>3.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  <w:r>
              <w:t xml:space="preserve"> от запланированных</w:t>
            </w:r>
          </w:p>
        </w:tc>
      </w:tr>
    </w:tbl>
    <w:p w:rsidR="00FB0D77" w:rsidRPr="00A10FA1" w:rsidRDefault="00FB0D77" w:rsidP="00FB0D77">
      <w:pPr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Ожидаемые конечные результаты Программы: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внедрение различных способов профилактики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повышение уровня правовой грамотности подконтрольных субъектов;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обеспечение единообразия понимания предмета контроля подконтрольными субъектами;</w:t>
      </w:r>
    </w:p>
    <w:p w:rsidR="008654F2" w:rsidRPr="008654F2" w:rsidRDefault="00FB0D77" w:rsidP="00107E26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мотивация подконтрольных субъек</w:t>
      </w:r>
      <w:r w:rsidR="00107E26">
        <w:rPr>
          <w:sz w:val="28"/>
          <w:szCs w:val="28"/>
        </w:rPr>
        <w:t>тов к добросовестному поведению.</w:t>
      </w:r>
    </w:p>
    <w:sectPr w:rsidR="008654F2" w:rsidRPr="008654F2" w:rsidSect="00C051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C13"/>
    <w:rsid w:val="00007D03"/>
    <w:rsid w:val="000453E3"/>
    <w:rsid w:val="000A0C00"/>
    <w:rsid w:val="000A40B9"/>
    <w:rsid w:val="000D069D"/>
    <w:rsid w:val="000F0E5F"/>
    <w:rsid w:val="000F2761"/>
    <w:rsid w:val="000F4B49"/>
    <w:rsid w:val="000F4E8C"/>
    <w:rsid w:val="00107E26"/>
    <w:rsid w:val="001C132C"/>
    <w:rsid w:val="00213A64"/>
    <w:rsid w:val="002172CC"/>
    <w:rsid w:val="00227642"/>
    <w:rsid w:val="00270E57"/>
    <w:rsid w:val="002A7F57"/>
    <w:rsid w:val="003028A7"/>
    <w:rsid w:val="003044DC"/>
    <w:rsid w:val="003075C3"/>
    <w:rsid w:val="00351516"/>
    <w:rsid w:val="0035773F"/>
    <w:rsid w:val="00386256"/>
    <w:rsid w:val="00402E2B"/>
    <w:rsid w:val="00443B01"/>
    <w:rsid w:val="0047338A"/>
    <w:rsid w:val="00485CFE"/>
    <w:rsid w:val="00486C78"/>
    <w:rsid w:val="004B1771"/>
    <w:rsid w:val="004F7682"/>
    <w:rsid w:val="004F7BF9"/>
    <w:rsid w:val="0051734C"/>
    <w:rsid w:val="0053314E"/>
    <w:rsid w:val="00574793"/>
    <w:rsid w:val="00575B8A"/>
    <w:rsid w:val="005808C7"/>
    <w:rsid w:val="005B55E4"/>
    <w:rsid w:val="005C0CC5"/>
    <w:rsid w:val="005C7AD5"/>
    <w:rsid w:val="006176DD"/>
    <w:rsid w:val="006348D6"/>
    <w:rsid w:val="00694288"/>
    <w:rsid w:val="006B2F2E"/>
    <w:rsid w:val="006B70A7"/>
    <w:rsid w:val="006C1393"/>
    <w:rsid w:val="006D49D0"/>
    <w:rsid w:val="006E5B84"/>
    <w:rsid w:val="007138F5"/>
    <w:rsid w:val="007230D7"/>
    <w:rsid w:val="00726F98"/>
    <w:rsid w:val="00751C45"/>
    <w:rsid w:val="00782F55"/>
    <w:rsid w:val="007B5AD8"/>
    <w:rsid w:val="007E223D"/>
    <w:rsid w:val="007F0D1A"/>
    <w:rsid w:val="007F10E8"/>
    <w:rsid w:val="0082219B"/>
    <w:rsid w:val="008654F2"/>
    <w:rsid w:val="008760A2"/>
    <w:rsid w:val="00903A5C"/>
    <w:rsid w:val="00922522"/>
    <w:rsid w:val="0093453D"/>
    <w:rsid w:val="009555BB"/>
    <w:rsid w:val="00982991"/>
    <w:rsid w:val="0099024D"/>
    <w:rsid w:val="009A1E84"/>
    <w:rsid w:val="009A361D"/>
    <w:rsid w:val="00A11749"/>
    <w:rsid w:val="00A66157"/>
    <w:rsid w:val="00A71C13"/>
    <w:rsid w:val="00A77321"/>
    <w:rsid w:val="00A84599"/>
    <w:rsid w:val="00B15E73"/>
    <w:rsid w:val="00B63175"/>
    <w:rsid w:val="00BB4566"/>
    <w:rsid w:val="00BB4DE6"/>
    <w:rsid w:val="00BC5C95"/>
    <w:rsid w:val="00BD7AA9"/>
    <w:rsid w:val="00BE293F"/>
    <w:rsid w:val="00BE619A"/>
    <w:rsid w:val="00C03CFC"/>
    <w:rsid w:val="00C05114"/>
    <w:rsid w:val="00C411A7"/>
    <w:rsid w:val="00C46560"/>
    <w:rsid w:val="00C54EDD"/>
    <w:rsid w:val="00C573B9"/>
    <w:rsid w:val="00C6793F"/>
    <w:rsid w:val="00C80391"/>
    <w:rsid w:val="00C9484F"/>
    <w:rsid w:val="00CC3EDC"/>
    <w:rsid w:val="00CF53A1"/>
    <w:rsid w:val="00D00580"/>
    <w:rsid w:val="00D17FE4"/>
    <w:rsid w:val="00D93F7E"/>
    <w:rsid w:val="00DB67DA"/>
    <w:rsid w:val="00DF1809"/>
    <w:rsid w:val="00DF5ED8"/>
    <w:rsid w:val="00E25D5C"/>
    <w:rsid w:val="00E558B0"/>
    <w:rsid w:val="00E71A90"/>
    <w:rsid w:val="00EA62FE"/>
    <w:rsid w:val="00EA7D5F"/>
    <w:rsid w:val="00EB029D"/>
    <w:rsid w:val="00EB39F5"/>
    <w:rsid w:val="00EB4AD5"/>
    <w:rsid w:val="00EC7F90"/>
    <w:rsid w:val="00F17F91"/>
    <w:rsid w:val="00F24DB5"/>
    <w:rsid w:val="00FB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C9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948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8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9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7AA9"/>
    <w:rPr>
      <w:i/>
      <w:iCs/>
    </w:rPr>
  </w:style>
  <w:style w:type="character" w:customStyle="1" w:styleId="fontstyle01">
    <w:name w:val="fontstyle01"/>
    <w:basedOn w:val="a0"/>
    <w:rsid w:val="009555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unhideWhenUsed/>
    <w:rsid w:val="00FB0D77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FB0D7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D0C2-D241-433F-93AB-ECD3F39E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1690</Words>
  <Characters>9633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Анализ текущего состояния осуществления вида контроля,</vt:lpstr>
      <vt:lpstr>    описание текущего уровня развития профилактической деятельности контрольного (на</vt:lpstr>
      <vt:lpstr>    </vt:lpstr>
    </vt:vector>
  </TitlesOfParts>
  <Company/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Незговорова Татьяна Владимировна</dc:creator>
  <cp:lastModifiedBy>MPoloznikova</cp:lastModifiedBy>
  <cp:revision>3</cp:revision>
  <cp:lastPrinted>2024-09-30T13:03:00Z</cp:lastPrinted>
  <dcterms:created xsi:type="dcterms:W3CDTF">2024-09-30T13:03:00Z</dcterms:created>
  <dcterms:modified xsi:type="dcterms:W3CDTF">2024-09-30T13:44:00Z</dcterms:modified>
</cp:coreProperties>
</file>