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34" w:rsidRPr="000D4A34" w:rsidRDefault="000D4A34" w:rsidP="000D4A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D4A34">
        <w:rPr>
          <w:rFonts w:ascii="Times New Roman" w:hAnsi="Times New Roman" w:cs="Times New Roman"/>
          <w:b/>
          <w:sz w:val="28"/>
        </w:rPr>
        <w:t>Правовая позиция Конституционного Суда Российской Федерации о применении сроков исковой давности к антикоррупционным искам прокуроров.</w:t>
      </w:r>
    </w:p>
    <w:p w:rsidR="000D4A34" w:rsidRDefault="000D4A34" w:rsidP="000D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4A34" w:rsidRDefault="00113BF7" w:rsidP="000D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Конституционным Судом Российской Федерации при проверке конституционности норм Гражданского кодекса Российской Федерации, регламентирующих вопросы применения исковой давности к антикоррупционным искам прокуроров, отмечено, что общие сроки исковой давности (ст. 196 Гражданского кодекса Российской Федерации: 3 года и 10 лет) не распространяются на требования обратить в доход страны имущество, полученное в результате коррупционных нарушений.</w:t>
      </w:r>
    </w:p>
    <w:p w:rsidR="00113BF7" w:rsidRDefault="00113BF7" w:rsidP="000D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3BF7">
        <w:rPr>
          <w:rFonts w:ascii="Times New Roman" w:hAnsi="Times New Roman" w:cs="Times New Roman"/>
          <w:sz w:val="28"/>
        </w:rPr>
        <w:t xml:space="preserve">Согласно позиции Конституционного суда институт исковой давности, предусмотренный гражданским законодательством, имеет </w:t>
      </w:r>
      <w:proofErr w:type="spellStart"/>
      <w:r w:rsidRPr="00113BF7">
        <w:rPr>
          <w:rFonts w:ascii="Times New Roman" w:hAnsi="Times New Roman" w:cs="Times New Roman"/>
          <w:sz w:val="28"/>
        </w:rPr>
        <w:t>частно</w:t>
      </w:r>
      <w:proofErr w:type="spellEnd"/>
      <w:r w:rsidRPr="00113BF7">
        <w:rPr>
          <w:rFonts w:ascii="Times New Roman" w:hAnsi="Times New Roman" w:cs="Times New Roman"/>
          <w:sz w:val="28"/>
        </w:rPr>
        <w:t>-правовую природу и не применим к публично-правовым отношениям по противодействию коррупции, поскольку недобросовестное поведение коррупционера должно лишать его оснований рассчитывать на институт давности как средство защиты своих незаконных интересов.</w:t>
      </w:r>
    </w:p>
    <w:p w:rsidR="00113BF7" w:rsidRDefault="00113BF7" w:rsidP="000D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3BF7">
        <w:rPr>
          <w:rFonts w:ascii="Times New Roman" w:hAnsi="Times New Roman" w:cs="Times New Roman"/>
          <w:sz w:val="28"/>
        </w:rPr>
        <w:t>Оценивая возможное влияние того или иного решения по рассматриваемому вопросу на баланс конституционных ценностей, Высший суд пришел к выводу, что больший вред этим ценностям будет причинен при допущении применения к антикоррупционным искам исковой давности, в том виде, в котором она в настоящее время урегулирована оспариваемыми законоположениями, без учета особенностей антикоррупционных исков.</w:t>
      </w:r>
    </w:p>
    <w:p w:rsidR="00113BF7" w:rsidRPr="000D4A34" w:rsidRDefault="00113BF7" w:rsidP="000D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3BF7">
        <w:rPr>
          <w:rFonts w:ascii="Times New Roman" w:hAnsi="Times New Roman" w:cs="Times New Roman"/>
          <w:sz w:val="28"/>
        </w:rPr>
        <w:t>Постановлением Конституционного суда Российской Федерации от 31.10.2024 № 49-П оспариваемые положения Гражданского кодекса Российской Федерации признаны не соответствующими Конституции в той мере, в какой судебное толкование привело к их распространению на антикоррупционные иски прокурора.</w:t>
      </w:r>
      <w:bookmarkStart w:id="0" w:name="_GoBack"/>
      <w:bookmarkEnd w:id="0"/>
    </w:p>
    <w:sectPr w:rsidR="00113BF7" w:rsidRPr="000D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34"/>
    <w:rsid w:val="000D4A34"/>
    <w:rsid w:val="0011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DA56"/>
  <w15:chartTrackingRefBased/>
  <w15:docId w15:val="{B132AA94-91B6-4607-80EB-71007CE7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2</cp:revision>
  <dcterms:created xsi:type="dcterms:W3CDTF">2024-11-18T11:14:00Z</dcterms:created>
  <dcterms:modified xsi:type="dcterms:W3CDTF">2024-11-18T11:20:00Z</dcterms:modified>
</cp:coreProperties>
</file>